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0"/>
      </w:pPr>
      <w:r>
        <w:rPr>
          <w:rFonts w:ascii="Inter" w:hAnsi="Inter"/>
          <w:b/>
          <w:color w:val="2D3748"/>
          <w:sz w:val="32"/>
        </w:rPr>
        <w:t>FUNDSXML</w:t>
      </w:r>
    </w:p>
    <w:p>
      <w:pPr>
        <w:pStyle w:val="FXEyebrow"/>
      </w:pPr>
      <w:r>
        <w:rPr>
          <w:rFonts w:ascii="Inter" w:hAnsi="Inter"/>
        </w:rPr>
        <w:t>WHITEPAPER</w:t>
      </w:r>
    </w:p>
    <w:p>
      <w:pPr>
        <w:pStyle w:val="Title"/>
      </w:pPr>
      <w:r>
        <w:t>The Future of Fund Data Standards</w:t>
      </w:r>
    </w:p>
    <w:p>
      <w:pPr>
        <w:spacing w:after="800"/>
      </w:pPr>
      <w:r>
        <w:rPr>
          <w:rFonts w:ascii="Inter" w:hAnsi="Inter"/>
          <w:color w:val="718096"/>
          <w:sz w:val="28"/>
        </w:rPr>
        <w:t>A comprehensive guide to modern data exchange in the financial industry</w:t>
      </w:r>
    </w:p>
    <w:p>
      <w:pPr>
        <w:spacing w:after="0"/>
      </w:pPr>
      <w:r>
        <w:rPr>
          <w:rFonts w:ascii="Inter" w:hAnsi="Inter"/>
          <w:b/>
          <w:color w:val="2D3748"/>
          <w:sz w:val="24"/>
        </w:rPr>
        <w:t>January 2026</w:t>
      </w:r>
    </w:p>
    <w:p>
      <w:r>
        <w:rPr>
          <w:rFonts w:ascii="Inter" w:hAnsi="Inter"/>
          <w:color w:val="718096"/>
          <w:sz w:val="24"/>
        </w:rPr>
        <w:t>Version 1.0</w:t>
      </w:r>
    </w:p>
    <w:p>
      <w:r>
        <w:br w:type="page"/>
      </w:r>
    </w:p>
    <w:p>
      <w:pPr>
        <w:pStyle w:val="Heading1"/>
      </w:pPr>
      <w:r>
        <w:t>Introduction</w:t>
      </w:r>
    </w:p>
    <w:p>
      <w:r>
        <w:rPr>
          <w:rFonts w:ascii="Inter" w:hAnsi="Inter"/>
        </w:rPr>
        <w:t>The financial industry is undergoing a significant transformation in how fund data is exchanged and managed. FundsXML provides a modern, standardized framework that addresses the evolving needs of asset managers, distributors and data providers.</w:t>
      </w:r>
    </w:p>
    <w:p>
      <w:r>
        <w:rPr>
          <w:rFonts w:ascii="Inter" w:hAnsi="Inter"/>
        </w:rPr>
        <w:t>This whitepaper explores the key benefits and implementation strategies for adopting FundsXML in your organization.</w:t>
      </w:r>
    </w:p>
    <w:p>
      <w:pPr>
        <w:pStyle w:val="Heading2"/>
      </w:pPr>
      <w:r>
        <w:t>Key Benefits</w:t>
      </w:r>
    </w:p>
    <w:p>
      <w:pPr>
        <w:spacing w:after="80"/>
        <w:ind w:left="227"/>
      </w:pPr>
      <w:r>
        <w:rPr>
          <w:rFonts w:ascii="Inter" w:hAnsi="Inter"/>
          <w:color w:val="4A90E2"/>
          <w:sz w:val="22"/>
        </w:rPr>
        <w:t xml:space="preserve">▪  </w:t>
      </w:r>
      <w:r>
        <w:rPr>
          <w:rFonts w:ascii="Inter" w:hAnsi="Inter"/>
          <w:color w:val="2D3748"/>
          <w:sz w:val="22"/>
        </w:rPr>
        <w:t>Standardized data exchange across the industry</w:t>
      </w:r>
    </w:p>
    <w:p>
      <w:pPr>
        <w:spacing w:after="80"/>
        <w:ind w:left="227"/>
      </w:pPr>
      <w:r>
        <w:rPr>
          <w:rFonts w:ascii="Inter" w:hAnsi="Inter"/>
          <w:color w:val="4A90E2"/>
          <w:sz w:val="22"/>
        </w:rPr>
        <w:t xml:space="preserve">▪  </w:t>
      </w:r>
      <w:r>
        <w:rPr>
          <w:rFonts w:ascii="Inter" w:hAnsi="Inter"/>
          <w:color w:val="2D3748"/>
          <w:sz w:val="22"/>
        </w:rPr>
        <w:t>Reduced implementation costs and complexity</w:t>
      </w:r>
    </w:p>
    <w:p>
      <w:pPr>
        <w:spacing w:after="80"/>
        <w:ind w:left="227"/>
      </w:pPr>
      <w:r>
        <w:rPr>
          <w:rFonts w:ascii="Inter" w:hAnsi="Inter"/>
          <w:color w:val="4A90E2"/>
          <w:sz w:val="22"/>
        </w:rPr>
        <w:t xml:space="preserve">▪  </w:t>
      </w:r>
      <w:r>
        <w:rPr>
          <w:rFonts w:ascii="Inter" w:hAnsi="Inter"/>
          <w:color w:val="2D3748"/>
          <w:sz w:val="22"/>
        </w:rPr>
        <w:t>Enhanced data quality and consistency</w:t>
      </w:r>
    </w:p>
    <w:p>
      <w:r>
        <w:br w:type="page"/>
      </w:r>
    </w:p>
    <w:p>
      <w:pPr>
        <w:spacing w:after="2400"/>
      </w:pPr>
    </w:p>
    <w:p>
      <w:pPr>
        <w:pStyle w:val="FXEyebrow"/>
      </w:pPr>
      <w:r>
        <w:rPr>
          <w:rFonts w:ascii="Inter" w:hAnsi="Inter"/>
        </w:rPr>
        <w:t>CHAPTER 02</w:t>
      </w:r>
    </w:p>
    <w:p>
      <w:pPr>
        <w:spacing w:after="200"/>
      </w:pPr>
      <w:r>
        <w:rPr>
          <w:rFonts w:ascii="Inter" w:hAnsi="Inter"/>
          <w:b/>
          <w:color w:val="2D3748"/>
          <w:sz w:val="80"/>
        </w:rPr>
        <w:t>Implementation Guide</w:t>
      </w:r>
    </w:p>
    <w:p>
      <w:pPr>
        <w:pBdr>
          <w:bottom w:val="single" w:sz="36" w:space="1" w:color="4A90E2"/>
        </w:pBdr>
      </w:pPr>
    </w:p>
    <w:p>
      <w:r>
        <w:br w:type="page"/>
      </w:r>
    </w:p>
    <w:p>
      <w:pPr>
        <w:spacing w:after="600"/>
      </w:pPr>
      <w:r>
        <w:rPr>
          <w:rFonts w:ascii="Inter" w:hAnsi="Inter"/>
          <w:b/>
          <w:color w:val="2D3748"/>
          <w:sz w:val="32"/>
        </w:rPr>
        <w:t>FUNDSXML</w:t>
      </w:r>
    </w:p>
    <w:p>
      <w:pPr>
        <w:spacing w:after="800"/>
      </w:pPr>
      <w:r>
        <w:rPr>
          <w:rFonts w:ascii="Inter" w:hAnsi="Inter"/>
          <w:b/>
          <w:color w:val="2D3748"/>
          <w:sz w:val="30"/>
        </w:rPr>
        <w:t>Join the leading financial institutions already using FundsXML to streamline their fund data operations.</w:t>
      </w:r>
    </w:p>
    <w:p>
      <w:pPr>
        <w:pStyle w:val="FXEyebrow"/>
      </w:pPr>
      <w:r>
        <w:rPr>
          <w:rFonts w:ascii="Inter" w:hAnsi="Inter"/>
        </w:rPr>
        <w:t>CONTACT</w:t>
      </w:r>
    </w:p>
    <w:p>
      <w:pPr>
        <w:spacing w:after="0"/>
      </w:pPr>
      <w:r>
        <w:rPr>
          <w:rFonts w:ascii="Inter" w:hAnsi="Inter"/>
          <w:b/>
          <w:color w:val="2D3748"/>
          <w:sz w:val="26"/>
        </w:rPr>
        <w:t>www.fundsxml.org</w:t>
      </w:r>
    </w:p>
    <w:p>
      <w:pPr>
        <w:spacing w:after="200"/>
      </w:pPr>
      <w:r>
        <w:rPr>
          <w:rFonts w:ascii="Inter" w:hAnsi="Inter"/>
          <w:color w:val="718096"/>
          <w:sz w:val="26"/>
        </w:rPr>
        <w:t>info@fundsxml.org</w:t>
      </w:r>
    </w:p>
    <w:p>
      <w:r>
        <w:rPr>
          <w:rFonts w:ascii="Inter" w:hAnsi="Inter"/>
          <w:color w:val="718096"/>
          <w:sz w:val="20"/>
        </w:rPr>
        <w:t>© 2026 FundsXML. All rights reserved.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nter" w:hAnsi="Inter"/>
        <w:color w:val="718096"/>
        <w:sz w:val="18"/>
      </w:rPr>
      <w:t>www.fundsxml.org  ·  The Future of Fund Data Standards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Inter" w:hAnsi="Inter"/>
        <w:b/>
        <w:color w:val="2D3748"/>
        <w:sz w:val="18"/>
      </w:rPr>
      <w:t>FUNDSXML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336" w:lineRule="auto"/>
    </w:pPr>
    <w:rPr>
      <w:rFonts w:ascii="Inter" w:hAnsi="Inter" w:cs="Inter"/>
      <w:color w:val="2D3748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  <w:pBdr>
        <w:left w:val="single" w:sz="28" w:space="14" w:color="4A90E2"/>
      </w:pBdr>
    </w:pPr>
    <w:rPr>
      <w:rFonts w:asciiTheme="majorHAnsi" w:eastAsiaTheme="majorEastAsia" w:hAnsiTheme="majorHAnsi" w:cstheme="majorBidi" w:ascii="Inter" w:hAnsi="Inter" w:cs="Inter"/>
      <w:b/>
      <w:bCs/>
      <w:color w:val="4A90E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Inter" w:hAnsi="Inter" w:cs="Inter"/>
      <w:b/>
      <w:bCs/>
      <w:color w:val="2D374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 w:ascii="Inter" w:hAnsi="Inter" w:cs="Inter"/>
      <w:b/>
      <w:color w:val="2D3748"/>
      <w:spacing w:val="5"/>
      <w:kern w:val="28"/>
      <w:sz w:val="6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XEyebrow">
    <w:name w:val="FX Eyebrow"/>
    <w:pPr>
      <w:spacing w:after="40"/>
    </w:pPr>
    <w:rPr>
      <w:rFonts w:ascii="Inter" w:hAnsi="Inter" w:cs="Inter"/>
      <w:b/>
      <w:color w:val="4A90E2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